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4CEDDFEC" wp14:editId="0999A6AE">
            <wp:extent cx="655320" cy="952262"/>
            <wp:effectExtent l="0" t="0" r="0" b="635"/>
            <wp:docPr id="1069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Kuv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5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F6F21">
        <w:rPr>
          <w:rFonts w:ascii="Verdana" w:hAnsi="Verdana"/>
          <w:b/>
          <w:sz w:val="18"/>
          <w:szCs w:val="18"/>
        </w:rPr>
        <w:tab/>
        <w:t>Sopimus lapsen hoitopaikan käytöstä</w:t>
      </w:r>
    </w:p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/>
          <w:sz w:val="18"/>
          <w:szCs w:val="18"/>
        </w:rPr>
      </w:pPr>
    </w:p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/>
          <w:sz w:val="18"/>
          <w:szCs w:val="18"/>
        </w:rPr>
      </w:pPr>
    </w:p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/>
          <w:sz w:val="18"/>
          <w:szCs w:val="18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2945"/>
        <w:gridCol w:w="3685"/>
      </w:tblGrid>
      <w:tr w:rsidR="004568B8" w:rsidTr="008B10E0">
        <w:tc>
          <w:tcPr>
            <w:tcW w:w="3151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Lapsen nimi</w:t>
            </w:r>
          </w:p>
        </w:tc>
        <w:tc>
          <w:tcPr>
            <w:tcW w:w="2945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Syntymäaika</w:t>
            </w:r>
          </w:p>
        </w:tc>
        <w:tc>
          <w:tcPr>
            <w:tcW w:w="3685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Hoitopaikka</w:t>
            </w:r>
          </w:p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/>
          <w:sz w:val="18"/>
          <w:szCs w:val="18"/>
        </w:rPr>
      </w:pPr>
    </w:p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/>
          <w:sz w:val="18"/>
          <w:szCs w:val="18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19"/>
        <w:gridCol w:w="2268"/>
        <w:gridCol w:w="2977"/>
        <w:gridCol w:w="3574"/>
      </w:tblGrid>
      <w:tr w:rsidR="004568B8" w:rsidTr="004568B8">
        <w:tc>
          <w:tcPr>
            <w:tcW w:w="851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Varaus</w:t>
            </w:r>
          </w:p>
        </w:tc>
        <w:tc>
          <w:tcPr>
            <w:tcW w:w="2268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Varattu hoitoaika h/kk</w:t>
            </w:r>
            <w:proofErr w:type="gramEnd"/>
          </w:p>
        </w:tc>
        <w:tc>
          <w:tcPr>
            <w:tcW w:w="2977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Keskimäärin h/pv</w:t>
            </w:r>
          </w:p>
        </w:tc>
        <w:tc>
          <w:tcPr>
            <w:tcW w:w="3574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% kokopäivähoidon kk-maksusta</w:t>
            </w:r>
          </w:p>
        </w:tc>
      </w:tr>
      <w:tr w:rsidR="004568B8" w:rsidTr="004568B8">
        <w:tc>
          <w:tcPr>
            <w:tcW w:w="851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84</w:t>
            </w:r>
          </w:p>
        </w:tc>
        <w:tc>
          <w:tcPr>
            <w:tcW w:w="2977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74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50</w:t>
            </w:r>
          </w:p>
        </w:tc>
      </w:tr>
      <w:tr w:rsidR="004568B8" w:rsidTr="004568B8">
        <w:tc>
          <w:tcPr>
            <w:tcW w:w="851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568B8">
              <w:rPr>
                <w:rFonts w:ascii="Verdana" w:hAnsi="Verdana"/>
                <w:sz w:val="18"/>
                <w:szCs w:val="18"/>
              </w:rPr>
              <w:t>85-126</w:t>
            </w:r>
            <w:proofErr w:type="gramEnd"/>
          </w:p>
        </w:tc>
        <w:tc>
          <w:tcPr>
            <w:tcW w:w="2977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74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4568B8" w:rsidTr="004568B8">
        <w:tc>
          <w:tcPr>
            <w:tcW w:w="851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568B8">
              <w:rPr>
                <w:rFonts w:ascii="Verdana" w:hAnsi="Verdana"/>
                <w:sz w:val="18"/>
                <w:szCs w:val="18"/>
              </w:rPr>
              <w:t>126-147</w:t>
            </w:r>
            <w:proofErr w:type="gramEnd"/>
          </w:p>
        </w:tc>
        <w:tc>
          <w:tcPr>
            <w:tcW w:w="2977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74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70</w:t>
            </w:r>
          </w:p>
        </w:tc>
      </w:tr>
      <w:tr w:rsidR="004568B8" w:rsidTr="004568B8">
        <w:tc>
          <w:tcPr>
            <w:tcW w:w="851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568B8">
              <w:rPr>
                <w:rFonts w:ascii="Verdana" w:hAnsi="Verdana"/>
                <w:sz w:val="18"/>
                <w:szCs w:val="18"/>
              </w:rPr>
              <w:t>147-168</w:t>
            </w:r>
            <w:proofErr w:type="gramEnd"/>
          </w:p>
        </w:tc>
        <w:tc>
          <w:tcPr>
            <w:tcW w:w="2977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74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  <w:tr w:rsidR="004568B8" w:rsidTr="004568B8">
        <w:tc>
          <w:tcPr>
            <w:tcW w:w="851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4568B8">
              <w:rPr>
                <w:rFonts w:ascii="Verdana" w:hAnsi="Verdana"/>
                <w:sz w:val="18"/>
                <w:szCs w:val="18"/>
              </w:rPr>
              <w:t>168-188</w:t>
            </w:r>
            <w:proofErr w:type="gramEnd"/>
          </w:p>
        </w:tc>
        <w:tc>
          <w:tcPr>
            <w:tcW w:w="2977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574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90</w:t>
            </w:r>
          </w:p>
        </w:tc>
      </w:tr>
      <w:tr w:rsidR="004568B8" w:rsidTr="004568B8">
        <w:tc>
          <w:tcPr>
            <w:tcW w:w="851" w:type="dxa"/>
          </w:tcPr>
          <w:p w:rsid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189-</w:t>
            </w:r>
          </w:p>
        </w:tc>
        <w:tc>
          <w:tcPr>
            <w:tcW w:w="2977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yli 9</w:t>
            </w:r>
          </w:p>
        </w:tc>
        <w:tc>
          <w:tcPr>
            <w:tcW w:w="3574" w:type="dxa"/>
          </w:tcPr>
          <w:p w:rsidR="004568B8" w:rsidRPr="004568B8" w:rsidRDefault="004568B8" w:rsidP="004568B8">
            <w:pPr>
              <w:pStyle w:val="Normal"/>
              <w:tabs>
                <w:tab w:val="left" w:pos="709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568B8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</w:tbl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/>
          <w:sz w:val="18"/>
          <w:szCs w:val="18"/>
        </w:rPr>
      </w:pPr>
    </w:p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Hoitoaika varataan koko toimintakaudeksi 1.8 – 31.7. Kesken vuoden tuntirajoja voidaan tarkistaa</w:t>
      </w:r>
    </w:p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vain perhe-, työ tai opintotilanteiden muuttuessa.</w:t>
      </w:r>
    </w:p>
    <w:p w:rsidR="004F6F21" w:rsidRDefault="004F6F21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Varatun tuntimäärän ylittyessä peritään ylityskuukaudelta automaattisesti todellisen käytetyn tuntiportaan mukainen maksu.</w:t>
      </w:r>
    </w:p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Varatun tuntimäärän ylittyessä kahden peräkkäisen kuukauden ajan, siirtyy lapsi pysyvästi korkeimman hoitoajan mukaiselle maksuportaalle.</w:t>
      </w:r>
    </w:p>
    <w:p w:rsidR="004F6F21" w:rsidRDefault="004F6F21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Käyttämättä jääneitä </w:t>
      </w:r>
      <w:r w:rsidR="004F6F21">
        <w:rPr>
          <w:rFonts w:ascii="Verdana" w:hAnsi="Verdana"/>
          <w:sz w:val="18"/>
          <w:szCs w:val="18"/>
        </w:rPr>
        <w:t>tunteja ei hyvitetä.</w:t>
      </w:r>
    </w:p>
    <w:p w:rsidR="004F6F21" w:rsidRDefault="004F6F21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F6F21" w:rsidRDefault="004F6F21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Huoltajien tulee ilmoittaa lapselle kullekin viikolle varatut varhaiskasvatuksen päivät ja hoitoajat viimeistään edellisen viikon maanantaina hoitopaikkaan. Tämän jälkeen tietoja ei voi enää muuttaa,</w:t>
      </w:r>
    </w:p>
    <w:p w:rsidR="004F6F21" w:rsidRDefault="004F6F21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vaan varattu käyttämätönkin päivä kuluttaa kuukauden hoitotunteja todellisen käytetyn hoitoajan mukaisesti.</w:t>
      </w:r>
    </w:p>
    <w:p w:rsidR="008B10E0" w:rsidRDefault="008B10E0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8B10E0" w:rsidRDefault="008B10E0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Lapsi voi käyttää varhaiskasvatuspaikkaa myös ennalta</w:t>
      </w:r>
      <w:r w:rsidR="007D31C8">
        <w:rPr>
          <w:rFonts w:ascii="Verdana" w:hAnsi="Verdana"/>
          <w:sz w:val="18"/>
          <w:szCs w:val="18"/>
        </w:rPr>
        <w:t xml:space="preserve"> ilmoitettuna vapaapäivänä, mikäli henkilökuntaa on paikalla riittävästi eikä kasvattajien ja lasten välinen suhdeluku ylity. Ennalta ilmoitettuna vapaapäivänä käytetty hoitoaika kuluttaa kuukauden hoitotunteja todellisen käytetyn hoitoajan </w:t>
      </w:r>
      <w:proofErr w:type="spellStart"/>
      <w:r w:rsidR="007D31C8">
        <w:rPr>
          <w:rFonts w:ascii="Verdana" w:hAnsi="Verdana"/>
          <w:sz w:val="18"/>
          <w:szCs w:val="18"/>
        </w:rPr>
        <w:t>maukaisesti</w:t>
      </w:r>
      <w:proofErr w:type="spellEnd"/>
      <w:r w:rsidR="007D31C8">
        <w:rPr>
          <w:rFonts w:ascii="Verdana" w:hAnsi="Verdana"/>
          <w:sz w:val="18"/>
          <w:szCs w:val="18"/>
        </w:rPr>
        <w:t>.</w:t>
      </w:r>
    </w:p>
    <w:p w:rsidR="004F6F21" w:rsidRDefault="004F6F21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F6F21" w:rsidRPr="004568B8" w:rsidRDefault="004F6F21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Huolt</w:t>
      </w:r>
      <w:r w:rsidR="008B10E0">
        <w:rPr>
          <w:rFonts w:ascii="Verdana" w:hAnsi="Verdana"/>
          <w:sz w:val="18"/>
          <w:szCs w:val="18"/>
        </w:rPr>
        <w:t xml:space="preserve">ajien tulee ilmoittaa </w:t>
      </w:r>
      <w:r>
        <w:rPr>
          <w:rFonts w:ascii="Verdana" w:hAnsi="Verdana"/>
          <w:sz w:val="18"/>
          <w:szCs w:val="18"/>
        </w:rPr>
        <w:t>supistetun toiminnan ajaksi (koulujen loma-ajat) varattu hoitoaika noin kuukautta aikaisemmin.</w:t>
      </w:r>
    </w:p>
    <w:p w:rsidR="004568B8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/>
          <w:sz w:val="18"/>
          <w:szCs w:val="18"/>
        </w:rPr>
      </w:pPr>
    </w:p>
    <w:p w:rsidR="004568B8" w:rsidRPr="00123F05" w:rsidRDefault="004568B8" w:rsidP="004568B8">
      <w:pPr>
        <w:pStyle w:val="Normal"/>
        <w:tabs>
          <w:tab w:val="left" w:pos="709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b/>
          <w:sz w:val="18"/>
          <w:szCs w:val="18"/>
        </w:rPr>
      </w:pPr>
      <w:r w:rsidRPr="00123F05">
        <w:rPr>
          <w:rFonts w:ascii="Verdana" w:hAnsi="Verdana"/>
          <w:b/>
          <w:sz w:val="18"/>
          <w:szCs w:val="18"/>
        </w:rPr>
        <w:t>Maksukäytäntö varhaiskasv</w:t>
      </w:r>
      <w:r>
        <w:rPr>
          <w:rFonts w:ascii="Verdana" w:hAnsi="Verdana"/>
          <w:b/>
          <w:sz w:val="18"/>
          <w:szCs w:val="18"/>
        </w:rPr>
        <w:t>atuksessa kesäkuukausien aikana</w:t>
      </w:r>
    </w:p>
    <w:p w:rsidR="004568B8" w:rsidRPr="00123F05" w:rsidRDefault="004568B8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Verdana" w:hAnsi="Verdana"/>
          <w:b/>
          <w:sz w:val="18"/>
          <w:szCs w:val="18"/>
        </w:rPr>
      </w:pPr>
    </w:p>
    <w:p w:rsidR="004568B8" w:rsidRDefault="004568B8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 w:rsidRPr="00123F05">
        <w:rPr>
          <w:rFonts w:ascii="Verdana" w:hAnsi="Verdana"/>
          <w:sz w:val="18"/>
          <w:szCs w:val="18"/>
        </w:rPr>
        <w:t>Maksua ei peritä kesäkuulta, mikäli 1.5. mennessä on il</w:t>
      </w:r>
      <w:r w:rsidRPr="00123F05">
        <w:rPr>
          <w:rFonts w:ascii="Verdana" w:hAnsi="Verdana"/>
          <w:sz w:val="18"/>
          <w:szCs w:val="18"/>
        </w:rPr>
        <w:softHyphen/>
        <w:t>moi</w:t>
      </w:r>
      <w:r w:rsidRPr="00123F05">
        <w:rPr>
          <w:rFonts w:ascii="Verdana" w:hAnsi="Verdana"/>
          <w:sz w:val="18"/>
          <w:szCs w:val="18"/>
        </w:rPr>
        <w:softHyphen/>
        <w:t>tet</w:t>
      </w:r>
      <w:r w:rsidRPr="00123F05">
        <w:rPr>
          <w:rFonts w:ascii="Verdana" w:hAnsi="Verdana"/>
          <w:sz w:val="18"/>
          <w:szCs w:val="18"/>
        </w:rPr>
        <w:softHyphen/>
        <w:t>tu, että lapsi on poissa kaikki kesä- ja heinäkuun toi</w:t>
      </w:r>
      <w:r w:rsidRPr="00123F05">
        <w:rPr>
          <w:rFonts w:ascii="Verdana" w:hAnsi="Verdana"/>
          <w:sz w:val="18"/>
          <w:szCs w:val="18"/>
        </w:rPr>
        <w:softHyphen/>
        <w:t>min</w:t>
      </w:r>
      <w:r w:rsidRPr="00123F05">
        <w:rPr>
          <w:rFonts w:ascii="Verdana" w:hAnsi="Verdana"/>
          <w:sz w:val="18"/>
          <w:szCs w:val="18"/>
        </w:rPr>
        <w:softHyphen/>
        <w:t>ta</w:t>
      </w:r>
      <w:r w:rsidRPr="00123F05">
        <w:rPr>
          <w:rFonts w:ascii="Verdana" w:hAnsi="Verdana"/>
          <w:sz w:val="18"/>
          <w:szCs w:val="18"/>
        </w:rPr>
        <w:softHyphen/>
        <w:t>päi</w:t>
      </w:r>
      <w:r w:rsidRPr="00123F05">
        <w:rPr>
          <w:rFonts w:ascii="Verdana" w:hAnsi="Verdana"/>
          <w:sz w:val="18"/>
          <w:szCs w:val="18"/>
        </w:rPr>
        <w:softHyphen/>
        <w:t>vät eikä paikkaa tosiasiallisesti käytetä.</w:t>
      </w:r>
    </w:p>
    <w:p w:rsidR="004568B8" w:rsidRDefault="004568B8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 w:rsidRPr="007B4409">
        <w:rPr>
          <w:rFonts w:ascii="Verdana" w:hAnsi="Verdana"/>
          <w:sz w:val="18"/>
          <w:szCs w:val="18"/>
        </w:rPr>
        <w:t>Maksua ei peritä kesäkuulta, heinäkuulta eikä elokuulta mi</w:t>
      </w:r>
      <w:r w:rsidRPr="007B4409">
        <w:rPr>
          <w:rFonts w:ascii="Verdana" w:hAnsi="Verdana"/>
          <w:sz w:val="18"/>
          <w:szCs w:val="18"/>
        </w:rPr>
        <w:softHyphen/>
        <w:t>kä</w:t>
      </w:r>
      <w:r w:rsidRPr="007B4409">
        <w:rPr>
          <w:rFonts w:ascii="Verdana" w:hAnsi="Verdana"/>
          <w:sz w:val="18"/>
          <w:szCs w:val="18"/>
        </w:rPr>
        <w:softHyphen/>
        <w:t>li 1.5. mennessä on ilmoitettu, että lapsi on poissa kaikki ke</w:t>
      </w:r>
      <w:r w:rsidRPr="007B4409">
        <w:rPr>
          <w:rFonts w:ascii="Verdana" w:hAnsi="Verdana"/>
          <w:sz w:val="18"/>
          <w:szCs w:val="18"/>
        </w:rPr>
        <w:softHyphen/>
        <w:t>sä-, heinä- ja elokuun toimintapäivät eikä paikkaa to</w:t>
      </w:r>
      <w:r w:rsidRPr="007B4409">
        <w:rPr>
          <w:rFonts w:ascii="Verdana" w:hAnsi="Verdana"/>
          <w:sz w:val="18"/>
          <w:szCs w:val="18"/>
        </w:rPr>
        <w:softHyphen/>
        <w:t>si</w:t>
      </w:r>
      <w:r w:rsidRPr="007B4409">
        <w:rPr>
          <w:rFonts w:ascii="Verdana" w:hAnsi="Verdana"/>
          <w:sz w:val="18"/>
          <w:szCs w:val="18"/>
        </w:rPr>
        <w:softHyphen/>
        <w:t>asial</w:t>
      </w:r>
      <w:r w:rsidRPr="007B4409">
        <w:rPr>
          <w:rFonts w:ascii="Verdana" w:hAnsi="Verdana"/>
          <w:sz w:val="18"/>
          <w:szCs w:val="18"/>
        </w:rPr>
        <w:softHyphen/>
        <w:t>li</w:t>
      </w:r>
      <w:r w:rsidRPr="007B4409">
        <w:rPr>
          <w:rFonts w:ascii="Verdana" w:hAnsi="Verdana"/>
          <w:sz w:val="18"/>
          <w:szCs w:val="18"/>
        </w:rPr>
        <w:softHyphen/>
        <w:t>ses</w:t>
      </w:r>
      <w:r w:rsidRPr="007B4409">
        <w:rPr>
          <w:rFonts w:ascii="Verdana" w:hAnsi="Verdana"/>
          <w:sz w:val="18"/>
          <w:szCs w:val="18"/>
        </w:rPr>
        <w:softHyphen/>
        <w:t>ti käytetä.</w:t>
      </w:r>
    </w:p>
    <w:p w:rsidR="004568B8" w:rsidRDefault="004568B8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Mikäli lapsen huoltajat varaavat lapselle varhaiskasvatuspaikan loman ajaksi (1.6 - 31.8),</w:t>
      </w:r>
    </w:p>
    <w:p w:rsidR="004568B8" w:rsidRDefault="004568B8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voidaan peruuttamatta jätetystä varhaiskasvatuspaikasta periä puolet hoitomaksusta tai</w:t>
      </w:r>
    </w:p>
    <w:p w:rsidR="004568B8" w:rsidRDefault="004568B8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vähintään puolet 27 euroa/kk:ssa perittävästä maksusta.</w:t>
      </w: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Maksuttomaan esiopetukseen osallistuminen ei poista oikeutta maksuhyvitykseen päivähoidon osalta.</w:t>
      </w: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Varuksen mukainen hoitomaksu tulee voimaan ___________________alkaen.</w:t>
      </w: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Tämä sopimus on tehty samansisältöisenä kummallekin osapuolelle.</w:t>
      </w: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Päivämäärä________________________</w:t>
      </w: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________________________________________</w:t>
      </w:r>
    </w:p>
    <w:p w:rsidR="004F6F21" w:rsidRDefault="004F6F21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Huoltajan allekirjoitus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Varhaiskasvatusyksikönjohtajan allekirjoitus</w:t>
      </w:r>
    </w:p>
    <w:p w:rsidR="004568B8" w:rsidRDefault="004568B8" w:rsidP="004568B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Verdana" w:hAnsi="Verdana"/>
          <w:sz w:val="18"/>
          <w:szCs w:val="18"/>
        </w:rPr>
      </w:pPr>
    </w:p>
    <w:p w:rsidR="003A3D1F" w:rsidRDefault="003A3D1F"/>
    <w:sectPr w:rsidR="003A3D1F" w:rsidSect="004F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B8"/>
    <w:rsid w:val="003A3D1F"/>
    <w:rsid w:val="004568B8"/>
    <w:rsid w:val="004F6F21"/>
    <w:rsid w:val="007136F5"/>
    <w:rsid w:val="007D31C8"/>
    <w:rsid w:val="008B10E0"/>
    <w:rsid w:val="008B7316"/>
    <w:rsid w:val="00C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rsid w:val="00456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68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5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rsid w:val="00456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68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5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Kataja Raili</dc:creator>
  <cp:lastModifiedBy>Kataja Raili</cp:lastModifiedBy>
  <cp:revision>2</cp:revision>
  <cp:lastPrinted>2017-03-20T12:48:00Z</cp:lastPrinted>
  <dcterms:created xsi:type="dcterms:W3CDTF">2017-03-23T10:37:00Z</dcterms:created>
  <dcterms:modified xsi:type="dcterms:W3CDTF">2017-03-23T10:37:00Z</dcterms:modified>
</cp:coreProperties>
</file>